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117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795117">
      <w:pPr>
        <w:rPr>
          <w:rFonts w:ascii="黑体" w:eastAsia="黑体" w:hAnsi="华文仿宋" w:hint="eastAsia"/>
          <w:sz w:val="32"/>
          <w:szCs w:val="32"/>
        </w:rPr>
      </w:pPr>
    </w:p>
    <w:p w:rsidR="00000000" w:rsidRPr="00B6771D" w:rsidRDefault="00795117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6771D">
        <w:rPr>
          <w:rFonts w:ascii="方正小标宋简体" w:eastAsia="方正小标宋简体" w:hint="eastAsia"/>
          <w:sz w:val="44"/>
          <w:szCs w:val="44"/>
        </w:rPr>
        <w:t>注射用阿洛西林钠药品说明书修订</w:t>
      </w:r>
      <w:r w:rsidRPr="00B6771D"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795117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00000" w:rsidRDefault="00795117">
      <w:pPr>
        <w:overflowPunct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、【不良反应】项下修订为以下内容：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皮肤及皮下组织：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皮疹、瘙痒、荨麻疹、红斑、斑丘疹、多汗、血管神经性水肿（如口舌咽水肿、四肢及颜面部水肿）、过敏性紫癜、多形性红斑、剥脱性皮炎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胃肠系统</w:t>
      </w: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恶心、呕吐、腹痛、腹胀、腹泻、消化不良、口腔炎、口干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全身性及给药部位反应：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胸痛、寒战、畏寒、发热、乏力、注射部位反应，包括皮疹、肿胀、硬结、疼痛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免疫系统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：血清病样反应、类过敏反应、超敏反应、过敏性休克，有死亡病例的报道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神经系统：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头晕、头痛、感觉减退、失眠、高热、抽搐、惊厥、震颤、局部针刺感、嗜睡、局部麻木、神经炎、昏迷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呼吸系统：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呼吸困难、胸闷、窒息感、呼吸急促、咳嗽、喉痉挛、支气管痉挛、喉水肿、哮喘、咽部疼痛或不适、鼻衄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血液及淋巴系统：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粒细胞减少、白细胞减少、血小板减少、粒细胞缺乏症、出血时间延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长、嗜酸性粒细胞增多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心血管系统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：心悸、心动过速、心律不齐、潮红、面色苍白、静脉炎、血栓性静脉炎、低血压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眼部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：眼部周围水肿、一过性黑朦、视物模糊、眼充血、眼痛、眼睑水肿、瘙痒、结膜水肿、充血或出血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代谢及营养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：低钾血症、高钠血症、电解质失衡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肌肉骨骼和结缔组织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：关节痛、肌痛、肌痉挛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泌尿系统：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血尿、尿失禁、间质性肾炎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肝胆系统：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肝功能异常、转氨酶升高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耳及迷路：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耳鸣、眩晕、听觉减退</w:t>
      </w:r>
    </w:p>
    <w:p w:rsidR="00000000" w:rsidRPr="00B6771D" w:rsidRDefault="00795117">
      <w:pPr>
        <w:overflowPunct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b/>
          <w:sz w:val="32"/>
          <w:szCs w:val="32"/>
        </w:rPr>
        <w:t>感染及侵染：二重感染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使用青霉素治疗梅毒或其他螺旋体感染的患者可能会发生赫氏反应（</w:t>
      </w:r>
      <w:r w:rsidRPr="00B6771D">
        <w:rPr>
          <w:rFonts w:eastAsia="仿宋_GB2312"/>
          <w:sz w:val="32"/>
          <w:szCs w:val="32"/>
        </w:rPr>
        <w:t>Jarisch-Herxheimer r</w:t>
      </w:r>
      <w:r w:rsidRPr="00B6771D">
        <w:rPr>
          <w:rFonts w:eastAsia="仿宋_GB2312"/>
          <w:sz w:val="32"/>
          <w:szCs w:val="32"/>
        </w:rPr>
        <w:t>eaction</w:t>
      </w:r>
      <w:r w:rsidRPr="00B6771D">
        <w:rPr>
          <w:rFonts w:eastAsia="仿宋_GB2312"/>
          <w:sz w:val="32"/>
          <w:szCs w:val="32"/>
        </w:rPr>
        <w:t>）。</w:t>
      </w:r>
    </w:p>
    <w:p w:rsidR="00000000" w:rsidRDefault="00795117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、【</w:t>
      </w:r>
      <w:r>
        <w:rPr>
          <w:rFonts w:eastAsia="黑体" w:hint="eastAsia"/>
          <w:sz w:val="32"/>
          <w:szCs w:val="32"/>
        </w:rPr>
        <w:t>注意事项</w:t>
      </w:r>
      <w:r>
        <w:rPr>
          <w:rFonts w:eastAsia="黑体"/>
          <w:sz w:val="32"/>
          <w:szCs w:val="32"/>
        </w:rPr>
        <w:t>】项下</w:t>
      </w:r>
      <w:r>
        <w:rPr>
          <w:rFonts w:eastAsia="黑体" w:hint="eastAsia"/>
          <w:sz w:val="32"/>
          <w:szCs w:val="32"/>
        </w:rPr>
        <w:t>修订为</w:t>
      </w:r>
      <w:r>
        <w:rPr>
          <w:rFonts w:eastAsia="黑体"/>
          <w:sz w:val="32"/>
          <w:szCs w:val="32"/>
        </w:rPr>
        <w:t>以下内容：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1.</w:t>
      </w:r>
      <w:r w:rsidRPr="00B6771D">
        <w:rPr>
          <w:rFonts w:eastAsia="仿宋_GB2312"/>
          <w:sz w:val="32"/>
          <w:szCs w:val="32"/>
        </w:rPr>
        <w:t>用药前须做青霉素皮肤试验，阳性者禁用。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2.</w:t>
      </w:r>
      <w:r w:rsidRPr="00B6771D">
        <w:rPr>
          <w:rFonts w:eastAsia="仿宋_GB2312"/>
          <w:sz w:val="32"/>
          <w:szCs w:val="32"/>
        </w:rPr>
        <w:t>交叉过敏反应：对一种青霉素类抗生素过敏者可能对其他青霉素类抗生素也过敏。也可能对青霉胺或头孢菌素类过敏。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3.</w:t>
      </w:r>
      <w:r w:rsidRPr="00B6771D">
        <w:rPr>
          <w:rFonts w:eastAsia="仿宋_GB2312"/>
          <w:sz w:val="32"/>
          <w:szCs w:val="32"/>
        </w:rPr>
        <w:t>有报道显示，接受阿洛西林钠治疗的患者有发生严重过敏反应的风险，包括过敏性休克，严重者可导致死亡。过敏反应更容易发生在具有青霉素类药物过敏史和</w:t>
      </w:r>
      <w:r w:rsidRPr="00B6771D">
        <w:rPr>
          <w:rFonts w:eastAsia="仿宋_GB2312"/>
          <w:sz w:val="32"/>
          <w:szCs w:val="32"/>
        </w:rPr>
        <w:t>/</w:t>
      </w:r>
      <w:r w:rsidRPr="00B6771D">
        <w:rPr>
          <w:rFonts w:eastAsia="仿宋_GB2312"/>
          <w:sz w:val="32"/>
          <w:szCs w:val="32"/>
        </w:rPr>
        <w:t>或对多种过敏原有过敏史的患者中，有明显过敏和</w:t>
      </w:r>
      <w:r w:rsidRPr="00B6771D">
        <w:rPr>
          <w:rFonts w:eastAsia="仿宋_GB2312"/>
          <w:sz w:val="32"/>
          <w:szCs w:val="32"/>
        </w:rPr>
        <w:t>/</w:t>
      </w:r>
      <w:r w:rsidRPr="00B6771D">
        <w:rPr>
          <w:rFonts w:eastAsia="仿宋_GB2312"/>
          <w:sz w:val="32"/>
          <w:szCs w:val="32"/>
        </w:rPr>
        <w:t>或哮喘病史的患者（有哮喘、湿疹、枯草热、荨麻疹等过敏性疾病史者）应慎用。一旦出现呼吸困难、血压下降、意识丧</w:t>
      </w:r>
      <w:r w:rsidRPr="00B6771D">
        <w:rPr>
          <w:rFonts w:eastAsia="仿宋_GB2312"/>
          <w:sz w:val="32"/>
          <w:szCs w:val="32"/>
        </w:rPr>
        <w:t>失等症状，应立即停药，并采取适当的紧急救治措施包括给予肾上腺素。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4.</w:t>
      </w:r>
      <w:r w:rsidRPr="00B6771D">
        <w:rPr>
          <w:rFonts w:eastAsia="仿宋_GB2312"/>
          <w:sz w:val="32"/>
          <w:szCs w:val="32"/>
        </w:rPr>
        <w:t>本品应现配现用，不宜放置。在配制或使用过程中如发现药液浑浊，应丢弃或停止使用。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lastRenderedPageBreak/>
        <w:t>5.</w:t>
      </w:r>
      <w:r w:rsidRPr="00B6771D">
        <w:rPr>
          <w:rFonts w:eastAsia="仿宋_GB2312"/>
          <w:sz w:val="32"/>
          <w:szCs w:val="32"/>
        </w:rPr>
        <w:t>本品不宜与其他药品配伍使用，与其他药品序贯使用时应更换输液器。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6.</w:t>
      </w:r>
      <w:r w:rsidRPr="00B6771D">
        <w:rPr>
          <w:rFonts w:eastAsia="仿宋_GB2312"/>
          <w:sz w:val="32"/>
          <w:szCs w:val="32"/>
        </w:rPr>
        <w:t>静脉滴注时注意速度不宜太快。</w:t>
      </w:r>
      <w:r w:rsidRPr="00B6771D">
        <w:rPr>
          <w:rFonts w:eastAsia="仿宋_GB2312"/>
          <w:sz w:val="32"/>
          <w:szCs w:val="32"/>
        </w:rPr>
        <w:t xml:space="preserve"> 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7.</w:t>
      </w:r>
      <w:r w:rsidRPr="00B6771D">
        <w:rPr>
          <w:rFonts w:eastAsia="仿宋_GB2312"/>
          <w:sz w:val="32"/>
          <w:szCs w:val="32"/>
        </w:rPr>
        <w:t>肾功能减退患者应适当降低用量。</w:t>
      </w:r>
      <w:r w:rsidRPr="00B6771D">
        <w:rPr>
          <w:rFonts w:eastAsia="仿宋_GB2312"/>
          <w:sz w:val="32"/>
          <w:szCs w:val="32"/>
        </w:rPr>
        <w:t xml:space="preserve"> 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8.</w:t>
      </w:r>
      <w:r w:rsidRPr="00B6771D">
        <w:rPr>
          <w:rFonts w:eastAsia="仿宋_GB2312"/>
          <w:sz w:val="32"/>
          <w:szCs w:val="32"/>
        </w:rPr>
        <w:t>和其他青霉素类药物一样，大剂量静脉给予阿洛西林或有严重肾功能不全的患者，可能会引起神经毒性反应，包括反射亢进、肌阵挛性抽搐、惊厥和昏迷。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9.</w:t>
      </w:r>
      <w:r w:rsidRPr="00B6771D">
        <w:rPr>
          <w:rFonts w:eastAsia="仿宋_GB2312"/>
          <w:sz w:val="32"/>
          <w:szCs w:val="32"/>
        </w:rPr>
        <w:t>使用</w:t>
      </w:r>
      <w:r w:rsidRPr="00B6771D">
        <w:rPr>
          <w:rFonts w:eastAsia="仿宋_GB2312"/>
          <w:sz w:val="32"/>
          <w:szCs w:val="32"/>
        </w:rPr>
        <w:t>β-</w:t>
      </w:r>
      <w:r w:rsidRPr="00B6771D">
        <w:rPr>
          <w:rFonts w:eastAsia="仿宋_GB2312"/>
          <w:sz w:val="32"/>
          <w:szCs w:val="32"/>
        </w:rPr>
        <w:t>内酰胺类抗生素（包括阿洛西林）治疗的部分患者可有出血表现。这些反应</w:t>
      </w:r>
      <w:r w:rsidRPr="00B6771D">
        <w:rPr>
          <w:rFonts w:eastAsia="仿宋_GB2312"/>
          <w:sz w:val="32"/>
          <w:szCs w:val="32"/>
        </w:rPr>
        <w:t>常与凝血试验</w:t>
      </w:r>
      <w:r w:rsidRPr="00B6771D">
        <w:rPr>
          <w:rFonts w:eastAsia="仿宋_GB2312"/>
          <w:sz w:val="32"/>
          <w:szCs w:val="32"/>
        </w:rPr>
        <w:t>(</w:t>
      </w:r>
      <w:r w:rsidRPr="00B6771D">
        <w:rPr>
          <w:rFonts w:eastAsia="仿宋_GB2312"/>
          <w:sz w:val="32"/>
          <w:szCs w:val="32"/>
        </w:rPr>
        <w:t>如凝血时间、血小板聚集和凝血酶原时间</w:t>
      </w:r>
      <w:r w:rsidRPr="00B6771D">
        <w:rPr>
          <w:rFonts w:eastAsia="仿宋_GB2312"/>
          <w:sz w:val="32"/>
          <w:szCs w:val="32"/>
        </w:rPr>
        <w:t>)</w:t>
      </w:r>
      <w:r w:rsidRPr="00B6771D">
        <w:rPr>
          <w:rFonts w:eastAsia="仿宋_GB2312"/>
          <w:sz w:val="32"/>
          <w:szCs w:val="32"/>
        </w:rPr>
        <w:t>异常有关，并多见于肾衰竭患者。如果有出血的表现，应当停用抗生素治疗（本品），并采取相应的治疗措施。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10.</w:t>
      </w:r>
      <w:r w:rsidRPr="00B6771D">
        <w:rPr>
          <w:rFonts w:eastAsia="仿宋_GB2312"/>
          <w:sz w:val="32"/>
          <w:szCs w:val="32"/>
        </w:rPr>
        <w:t>注射用阿洛西林钠每</w:t>
      </w:r>
      <w:r w:rsidRPr="00B6771D">
        <w:rPr>
          <w:rFonts w:eastAsia="仿宋_GB2312"/>
          <w:sz w:val="32"/>
          <w:szCs w:val="32"/>
        </w:rPr>
        <w:t>1g</w:t>
      </w:r>
      <w:r w:rsidRPr="00B6771D">
        <w:rPr>
          <w:rFonts w:eastAsia="仿宋_GB2312"/>
          <w:sz w:val="32"/>
          <w:szCs w:val="32"/>
        </w:rPr>
        <w:t>包含</w:t>
      </w:r>
      <w:r w:rsidRPr="00B6771D">
        <w:rPr>
          <w:rFonts w:eastAsia="仿宋_GB2312"/>
          <w:sz w:val="32"/>
          <w:szCs w:val="32"/>
        </w:rPr>
        <w:t>49.9 mg</w:t>
      </w:r>
      <w:r w:rsidRPr="00B6771D">
        <w:rPr>
          <w:rFonts w:eastAsia="仿宋_GB2312"/>
          <w:sz w:val="32"/>
          <w:szCs w:val="32"/>
        </w:rPr>
        <w:t>（</w:t>
      </w:r>
      <w:r w:rsidRPr="00B6771D">
        <w:rPr>
          <w:rFonts w:eastAsia="仿宋_GB2312"/>
          <w:sz w:val="32"/>
          <w:szCs w:val="32"/>
        </w:rPr>
        <w:t>2.17 mmol</w:t>
      </w:r>
      <w:r w:rsidRPr="00B6771D">
        <w:rPr>
          <w:rFonts w:eastAsia="仿宋_GB2312"/>
          <w:sz w:val="32"/>
          <w:szCs w:val="32"/>
        </w:rPr>
        <w:t>）钠。治疗需要限制盐摄入的患者时，应考虑这一点。大剂量阿洛西林钠可引起低钾血症，有时高钠血症。使用保钾利尿剂可能会有所帮助。长期大剂量治疗的患者，应监测电解质平衡、造血功能和肾功能。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11.</w:t>
      </w:r>
      <w:r w:rsidRPr="00B6771D">
        <w:rPr>
          <w:rFonts w:eastAsia="仿宋_GB2312"/>
          <w:sz w:val="32"/>
          <w:szCs w:val="32"/>
        </w:rPr>
        <w:t>和其他半合成青霉素类一样，阿洛西林的使用可使囊性纤维化患者发热和皮疹发生率升高。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12.</w:t>
      </w:r>
      <w:r w:rsidRPr="00B6771D">
        <w:rPr>
          <w:rFonts w:eastAsia="仿宋_GB2312"/>
          <w:sz w:val="32"/>
          <w:szCs w:val="32"/>
        </w:rPr>
        <w:t>包括阿洛西林在内</w:t>
      </w:r>
      <w:r w:rsidRPr="00B6771D">
        <w:rPr>
          <w:rFonts w:eastAsia="仿宋_GB2312"/>
          <w:sz w:val="32"/>
          <w:szCs w:val="32"/>
        </w:rPr>
        <w:t>的几乎所有的抗菌药物在应用中都曾有过艰难梭菌相关性腹泻（</w:t>
      </w:r>
      <w:r w:rsidRPr="00B6771D">
        <w:rPr>
          <w:rFonts w:eastAsia="仿宋_GB2312"/>
          <w:sz w:val="32"/>
          <w:szCs w:val="32"/>
        </w:rPr>
        <w:t>CDAD, Clostridium difficile associated diarrhea</w:t>
      </w:r>
      <w:r w:rsidRPr="00B6771D">
        <w:rPr>
          <w:rFonts w:eastAsia="仿宋_GB2312"/>
          <w:sz w:val="32"/>
          <w:szCs w:val="32"/>
        </w:rPr>
        <w:t>）的报道，其严重程度从轻度腹泻到致死性的结肠炎不等。抗菌药物治疗会改变患者结肠部位的正常菌群，导致艰难梭</w:t>
      </w:r>
      <w:r w:rsidRPr="00B6771D">
        <w:rPr>
          <w:rFonts w:eastAsia="仿宋_GB2312"/>
          <w:sz w:val="32"/>
          <w:szCs w:val="32"/>
        </w:rPr>
        <w:lastRenderedPageBreak/>
        <w:t>菌过度生长。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艰难梭菌产生的毒素</w:t>
      </w:r>
      <w:r w:rsidRPr="00B6771D">
        <w:rPr>
          <w:rFonts w:eastAsia="仿宋_GB2312"/>
          <w:sz w:val="32"/>
          <w:szCs w:val="32"/>
        </w:rPr>
        <w:t>A</w:t>
      </w:r>
      <w:r w:rsidRPr="00B6771D">
        <w:rPr>
          <w:rFonts w:eastAsia="仿宋_GB2312"/>
          <w:sz w:val="32"/>
          <w:szCs w:val="32"/>
        </w:rPr>
        <w:t>和</w:t>
      </w:r>
      <w:r w:rsidRPr="00B6771D">
        <w:rPr>
          <w:rFonts w:eastAsia="仿宋_GB2312"/>
          <w:sz w:val="32"/>
          <w:szCs w:val="32"/>
        </w:rPr>
        <w:t>B</w:t>
      </w:r>
      <w:r w:rsidRPr="00B6771D">
        <w:rPr>
          <w:rFonts w:eastAsia="仿宋_GB2312"/>
          <w:sz w:val="32"/>
          <w:szCs w:val="32"/>
        </w:rPr>
        <w:t>是导致</w:t>
      </w:r>
      <w:r w:rsidRPr="00B6771D">
        <w:rPr>
          <w:rFonts w:eastAsia="仿宋_GB2312"/>
          <w:sz w:val="32"/>
          <w:szCs w:val="32"/>
        </w:rPr>
        <w:t>CDAD</w:t>
      </w:r>
      <w:r w:rsidRPr="00B6771D">
        <w:rPr>
          <w:rFonts w:eastAsia="仿宋_GB2312"/>
          <w:sz w:val="32"/>
          <w:szCs w:val="32"/>
        </w:rPr>
        <w:t>发生的原因。艰难梭菌中产生高水平毒素的菌株可引起</w:t>
      </w:r>
      <w:r w:rsidRPr="00B6771D">
        <w:rPr>
          <w:rFonts w:eastAsia="仿宋_GB2312"/>
          <w:sz w:val="32"/>
          <w:szCs w:val="32"/>
        </w:rPr>
        <w:t>CDAD</w:t>
      </w:r>
      <w:r w:rsidRPr="00B6771D">
        <w:rPr>
          <w:rFonts w:eastAsia="仿宋_GB2312"/>
          <w:sz w:val="32"/>
          <w:szCs w:val="32"/>
        </w:rPr>
        <w:t>发病率和死亡率升高，由于这些感染属于抗微生物药物难治性感染，所以可能需要对此类患者进行结肠切除术。凡在使用抗生素后出现腹泻的患者，都必须考虑发生</w:t>
      </w:r>
      <w:r w:rsidRPr="00B6771D">
        <w:rPr>
          <w:rFonts w:eastAsia="仿宋_GB2312"/>
          <w:sz w:val="32"/>
          <w:szCs w:val="32"/>
        </w:rPr>
        <w:t>CDA</w:t>
      </w:r>
      <w:r w:rsidRPr="00B6771D">
        <w:rPr>
          <w:rFonts w:eastAsia="仿宋_GB2312"/>
          <w:sz w:val="32"/>
          <w:szCs w:val="32"/>
        </w:rPr>
        <w:t>D</w:t>
      </w:r>
      <w:r w:rsidRPr="00B6771D">
        <w:rPr>
          <w:rFonts w:eastAsia="仿宋_GB2312"/>
          <w:sz w:val="32"/>
          <w:szCs w:val="32"/>
        </w:rPr>
        <w:t>的可能性。曾有文献报道，在抗菌药物治疗结束</w:t>
      </w:r>
      <w:r w:rsidRPr="00B6771D">
        <w:rPr>
          <w:rFonts w:eastAsia="仿宋_GB2312"/>
          <w:sz w:val="32"/>
          <w:szCs w:val="32"/>
        </w:rPr>
        <w:t>2</w:t>
      </w:r>
      <w:r w:rsidRPr="00B6771D">
        <w:rPr>
          <w:rFonts w:eastAsia="仿宋_GB2312"/>
          <w:sz w:val="32"/>
          <w:szCs w:val="32"/>
        </w:rPr>
        <w:t>个月后发生</w:t>
      </w:r>
      <w:r w:rsidRPr="00B6771D">
        <w:rPr>
          <w:rFonts w:eastAsia="仿宋_GB2312"/>
          <w:sz w:val="32"/>
          <w:szCs w:val="32"/>
        </w:rPr>
        <w:t>CDAD</w:t>
      </w:r>
      <w:r w:rsidRPr="00B6771D">
        <w:rPr>
          <w:rFonts w:eastAsia="仿宋_GB2312"/>
          <w:sz w:val="32"/>
          <w:szCs w:val="32"/>
        </w:rPr>
        <w:t>，因此在进行</w:t>
      </w:r>
      <w:r w:rsidRPr="00B6771D">
        <w:rPr>
          <w:rFonts w:eastAsia="仿宋_GB2312"/>
          <w:sz w:val="32"/>
          <w:szCs w:val="32"/>
        </w:rPr>
        <w:t>CDAD</w:t>
      </w:r>
      <w:r w:rsidRPr="00B6771D">
        <w:rPr>
          <w:rFonts w:eastAsia="仿宋_GB2312"/>
          <w:sz w:val="32"/>
          <w:szCs w:val="32"/>
        </w:rPr>
        <w:t>鉴别时需要认真了解患者的病史。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一旦怀疑或者确认患者发生了</w:t>
      </w:r>
      <w:r w:rsidRPr="00B6771D">
        <w:rPr>
          <w:rFonts w:eastAsia="仿宋_GB2312"/>
          <w:sz w:val="32"/>
          <w:szCs w:val="32"/>
        </w:rPr>
        <w:t>CDAD</w:t>
      </w:r>
      <w:r w:rsidRPr="00B6771D">
        <w:rPr>
          <w:rFonts w:eastAsia="仿宋_GB2312"/>
          <w:sz w:val="32"/>
          <w:szCs w:val="32"/>
        </w:rPr>
        <w:t>，可能需要停止患者正在接受的抗生素（对艰难梭菌有直接抑制作用的抗生素除外）。同时应根据临床指征，对患者进行适当的液体和电解质管理、补充蛋白、使用抗生素治疗艰难梭菌感染并进行手术评估。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13.</w:t>
      </w:r>
      <w:r w:rsidRPr="00B6771D">
        <w:rPr>
          <w:rFonts w:eastAsia="仿宋_GB2312"/>
          <w:sz w:val="32"/>
          <w:szCs w:val="32"/>
        </w:rPr>
        <w:t>本品治疗可能导致出现耐药菌，其可能导致二重感染。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14.</w:t>
      </w:r>
      <w:r w:rsidRPr="00B6771D">
        <w:rPr>
          <w:rFonts w:eastAsia="仿宋_GB2312"/>
          <w:sz w:val="32"/>
          <w:szCs w:val="32"/>
        </w:rPr>
        <w:t>与其</w:t>
      </w:r>
      <w:r>
        <w:rPr>
          <w:rFonts w:eastAsia="仿宋_GB2312" w:hint="eastAsia"/>
          <w:sz w:val="32"/>
          <w:szCs w:val="32"/>
        </w:rPr>
        <w:t>他</w:t>
      </w:r>
      <w:r w:rsidRPr="00B6771D">
        <w:rPr>
          <w:rFonts w:eastAsia="仿宋_GB2312"/>
          <w:sz w:val="32"/>
          <w:szCs w:val="32"/>
        </w:rPr>
        <w:t>青霉素一样，本品给药可导致铜还原法检查尿糖时出现假阳性反应。建议采用葡萄糖氧化酶介导的酶促反应检测葡萄糖。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15.</w:t>
      </w:r>
      <w:r w:rsidRPr="00B6771D">
        <w:rPr>
          <w:rFonts w:eastAsia="仿宋_GB2312"/>
          <w:sz w:val="32"/>
          <w:szCs w:val="32"/>
        </w:rPr>
        <w:t>本品与重金属，特别是铜、锌和汞呈配伍禁忌，因后者可破坏其氧化噻唑环。由锌化合物制造的橡皮管或瓶塞也可影响其活力。呈酸性的葡萄糖注射液或四环素注射液皆可破坏其活性。也可为氧化剂、还原剂或羟基化合物灭活。</w:t>
      </w:r>
    </w:p>
    <w:p w:rsidR="00000000" w:rsidRDefault="00795117">
      <w:pPr>
        <w:overflowPunct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、【</w:t>
      </w:r>
      <w:r>
        <w:rPr>
          <w:rFonts w:eastAsia="黑体" w:hint="eastAsia"/>
          <w:sz w:val="32"/>
          <w:szCs w:val="32"/>
        </w:rPr>
        <w:t>老年人用药</w:t>
      </w:r>
      <w:r>
        <w:rPr>
          <w:rFonts w:eastAsia="黑体"/>
          <w:sz w:val="32"/>
          <w:szCs w:val="32"/>
        </w:rPr>
        <w:t>】项下</w:t>
      </w:r>
      <w:r>
        <w:rPr>
          <w:rFonts w:eastAsia="黑体" w:hint="eastAsia"/>
          <w:sz w:val="32"/>
          <w:szCs w:val="32"/>
        </w:rPr>
        <w:t>修订为</w:t>
      </w:r>
      <w:r>
        <w:rPr>
          <w:rFonts w:eastAsia="黑体"/>
          <w:sz w:val="32"/>
          <w:szCs w:val="32"/>
        </w:rPr>
        <w:t>以下内容：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sz w:val="32"/>
          <w:szCs w:val="32"/>
        </w:rPr>
        <w:t>通常，考虑到老年人较常出现肝脏、肾脏或心脏功能下降以及出现伴发病和合用其他药物治疗，老年人的剂量选择应谨慎，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通常先从低剂量开始。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6771D">
        <w:rPr>
          <w:rFonts w:ascii="仿宋_GB2312" w:eastAsia="仿宋_GB2312" w:hAnsi="仿宋_GB2312" w:cs="仿宋_GB2312" w:hint="eastAsia"/>
          <w:sz w:val="32"/>
          <w:szCs w:val="32"/>
        </w:rPr>
        <w:t>已知阿洛西林主要由肾脏排泄，而肾功能损害的患者对此药物的毒性反应风险可能更大。由于老年患者的肾功能减退的可能性较大，在选择剂量时应谨慎</w:t>
      </w:r>
      <w:r w:rsidRPr="00B6771D">
        <w:rPr>
          <w:rFonts w:ascii="仿宋_GB2312" w:eastAsia="仿宋_GB2312" w:hAnsi="仿宋_GB2312" w:cs="仿宋_GB2312" w:hint="eastAsia"/>
          <w:sz w:val="32"/>
          <w:szCs w:val="32"/>
        </w:rPr>
        <w:t>，监测肾功能有助于选择合理的剂量。</w:t>
      </w:r>
    </w:p>
    <w:p w:rsidR="00000000" w:rsidRDefault="00795117">
      <w:pPr>
        <w:overflowPunct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四、【药物相互作用】项下修订为以下内容：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1.</w:t>
      </w:r>
      <w:r w:rsidRPr="00B6771D">
        <w:rPr>
          <w:rFonts w:eastAsia="仿宋_GB2312"/>
          <w:sz w:val="32"/>
          <w:szCs w:val="32"/>
        </w:rPr>
        <w:t>氯霉素、红霉素、四环素类等抗生素和磺胺药等抑菌剂可干扰本品的杀菌活性，不宜与本品合用，尤其是在治疗脑膜炎或急需杀菌剂的严重感染时。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2.</w:t>
      </w:r>
      <w:r w:rsidRPr="00B6771D">
        <w:rPr>
          <w:rFonts w:eastAsia="仿宋_GB2312"/>
          <w:sz w:val="32"/>
          <w:szCs w:val="32"/>
        </w:rPr>
        <w:t>本品可减慢头孢噻肟及环丙沙星自体内清除，故合用时应降低后两者的剂量。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3.</w:t>
      </w:r>
      <w:r w:rsidRPr="00B6771D">
        <w:rPr>
          <w:rFonts w:eastAsia="仿宋_GB2312"/>
          <w:sz w:val="32"/>
          <w:szCs w:val="32"/>
        </w:rPr>
        <w:t>丙磺舒、阿司匹林、吲哚美辛、保泰松、磺胺药可减少本品自肾脏排泄，因此与本品合用时使其血药浓度增高，排泄时间延长，毒性也可能增加。</w:t>
      </w:r>
    </w:p>
    <w:p w:rsidR="00000000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4.</w:t>
      </w:r>
      <w:r w:rsidRPr="00B6771D">
        <w:rPr>
          <w:rFonts w:eastAsia="仿宋_GB2312"/>
          <w:sz w:val="32"/>
          <w:szCs w:val="32"/>
        </w:rPr>
        <w:t>本品可加强华法林的作用。</w:t>
      </w:r>
    </w:p>
    <w:p w:rsidR="00795117" w:rsidRPr="00B6771D" w:rsidRDefault="00795117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771D">
        <w:rPr>
          <w:rFonts w:eastAsia="仿宋_GB2312"/>
          <w:sz w:val="32"/>
          <w:szCs w:val="32"/>
        </w:rPr>
        <w:t>5.</w:t>
      </w:r>
      <w:r w:rsidRPr="00B6771D">
        <w:rPr>
          <w:rFonts w:eastAsia="仿宋_GB2312"/>
          <w:sz w:val="32"/>
          <w:szCs w:val="32"/>
        </w:rPr>
        <w:t>由于阿洛西林可使氨基糖苷类药物在体外失活，因此建议本品与</w:t>
      </w:r>
      <w:r w:rsidRPr="00B6771D">
        <w:rPr>
          <w:rFonts w:eastAsia="仿宋_GB2312"/>
          <w:sz w:val="32"/>
          <w:szCs w:val="32"/>
        </w:rPr>
        <w:t>氨基糖苷类药物分开给药。当需要与氨基糖苷类药物一起联合使用时，本品和氨基糖苷类药物应分开复溶、稀释和给药。</w:t>
      </w:r>
      <w:bookmarkStart w:id="0" w:name="_GoBack"/>
      <w:bookmarkEnd w:id="0"/>
    </w:p>
    <w:sectPr w:rsidR="00795117" w:rsidRPr="00B6771D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17" w:rsidRDefault="00795117">
      <w:r>
        <w:separator/>
      </w:r>
    </w:p>
  </w:endnote>
  <w:endnote w:type="continuationSeparator" w:id="0">
    <w:p w:rsidR="00795117" w:rsidRDefault="0079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05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B6771D" w:rsidRDefault="00795117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B6771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0525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eF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DKDueF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B6771D" w:rsidRDefault="00795117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B6771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6771D">
                      <w:rPr>
                        <w:sz w:val="28"/>
                        <w:szCs w:val="28"/>
                      </w:rPr>
                      <w:fldChar w:fldCharType="begin"/>
                    </w:r>
                    <w:r w:rsidRPr="00B6771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6771D">
                      <w:rPr>
                        <w:sz w:val="28"/>
                        <w:szCs w:val="28"/>
                      </w:rPr>
                      <w:fldChar w:fldCharType="separate"/>
                    </w:r>
                    <w:r w:rsidR="004C0525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B6771D">
                      <w:rPr>
                        <w:sz w:val="28"/>
                        <w:szCs w:val="28"/>
                      </w:rPr>
                      <w:fldChar w:fldCharType="end"/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05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B6771D" w:rsidRDefault="00795117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B6771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0525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B6771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771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6771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" filled="f" stroked="f">
              <v:textbox style="mso-fit-shape-to-text:t" inset="0,0,0,0">
                <w:txbxContent>
                  <w:p w:rsidR="00000000" w:rsidRPr="00B6771D" w:rsidRDefault="00795117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B6771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6771D">
                      <w:rPr>
                        <w:sz w:val="28"/>
                        <w:szCs w:val="28"/>
                      </w:rPr>
                      <w:fldChar w:fldCharType="begin"/>
                    </w:r>
                    <w:r w:rsidRPr="00B6771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6771D">
                      <w:rPr>
                        <w:sz w:val="28"/>
                        <w:szCs w:val="28"/>
                      </w:rPr>
                      <w:fldChar w:fldCharType="separate"/>
                    </w:r>
                    <w:r w:rsidR="004C0525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B6771D">
                      <w:rPr>
                        <w:sz w:val="28"/>
                        <w:szCs w:val="28"/>
                      </w:rPr>
                      <w:fldChar w:fldCharType="end"/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6771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6771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17" w:rsidRDefault="00795117">
      <w:r>
        <w:separator/>
      </w:r>
    </w:p>
  </w:footnote>
  <w:footnote w:type="continuationSeparator" w:id="0">
    <w:p w:rsidR="00795117" w:rsidRDefault="0079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C0525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9511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6771D"/>
    <w:rsid w:val="00B84EF7"/>
    <w:rsid w:val="00BA00D5"/>
    <w:rsid w:val="00BA1FC7"/>
    <w:rsid w:val="00BC4B41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7CF6BD5"/>
    <w:rsid w:val="2A8D465A"/>
    <w:rsid w:val="2BFE6B5E"/>
    <w:rsid w:val="37B733C3"/>
    <w:rsid w:val="3FFBC31C"/>
    <w:rsid w:val="43E2636A"/>
    <w:rsid w:val="4C1A048F"/>
    <w:rsid w:val="4DFF8AA9"/>
    <w:rsid w:val="4FFDAD4A"/>
    <w:rsid w:val="591D3208"/>
    <w:rsid w:val="5BDF0831"/>
    <w:rsid w:val="5DFF04AF"/>
    <w:rsid w:val="5E9A80BC"/>
    <w:rsid w:val="5FDFB3E9"/>
    <w:rsid w:val="63E446CD"/>
    <w:rsid w:val="679F0304"/>
    <w:rsid w:val="6C46B7AF"/>
    <w:rsid w:val="721DCFDF"/>
    <w:rsid w:val="75F3F63F"/>
    <w:rsid w:val="7B16B1E6"/>
    <w:rsid w:val="7ED62E8A"/>
    <w:rsid w:val="7F21A453"/>
    <w:rsid w:val="7F970751"/>
    <w:rsid w:val="7FBB953A"/>
    <w:rsid w:val="ABFD8498"/>
    <w:rsid w:val="BFF72357"/>
    <w:rsid w:val="C7FAA9E9"/>
    <w:rsid w:val="DFD58B2A"/>
    <w:rsid w:val="EBD5FCFC"/>
    <w:rsid w:val="EBFF8265"/>
    <w:rsid w:val="EFFF10F2"/>
    <w:rsid w:val="FBFF3E2F"/>
    <w:rsid w:val="FFFBC368"/>
    <w:rsid w:val="FF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5FCC6-2AF8-452F-8D75-43FCED0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2105</Characters>
  <Application>Microsoft Office Word</Application>
  <DocSecurity>0</DocSecurity>
  <Lines>17</Lines>
  <Paragraphs>4</Paragraphs>
  <ScaleCrop>false</ScaleCrop>
  <Company>Xtzj.Com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2021-09-06T22:57:00Z</cp:lastPrinted>
  <dcterms:created xsi:type="dcterms:W3CDTF">2021-09-07T07:46:00Z</dcterms:created>
  <dcterms:modified xsi:type="dcterms:W3CDTF">2021-09-07T07:46:00Z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